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546E" w14:textId="78491660" w:rsidR="009C5325" w:rsidRPr="001D0A94" w:rsidRDefault="009C5325" w:rsidP="009C5325">
      <w:pPr>
        <w:pStyle w:val="Otsikko1"/>
        <w:rPr>
          <w:rFonts w:eastAsia="Times New Roman"/>
          <w:lang w:eastAsia="fi-FI"/>
        </w:rPr>
      </w:pPr>
      <w:r w:rsidRPr="001D0A94">
        <w:rPr>
          <w:rFonts w:eastAsia="Times New Roman"/>
          <w:lang w:eastAsia="fi-FI"/>
        </w:rPr>
        <w:t>L</w:t>
      </w:r>
      <w:r>
        <w:rPr>
          <w:rFonts w:eastAsia="Times New Roman"/>
          <w:lang w:eastAsia="fi-FI"/>
        </w:rPr>
        <w:t>IITE</w:t>
      </w:r>
      <w:r w:rsidRPr="001D0A94">
        <w:rPr>
          <w:rFonts w:eastAsia="Times New Roman"/>
          <w:lang w:eastAsia="fi-FI"/>
        </w:rPr>
        <w:t xml:space="preserve"> 2:</w:t>
      </w:r>
      <w:r>
        <w:rPr>
          <w:rFonts w:eastAsia="Times New Roman"/>
          <w:lang w:eastAsia="fi-FI"/>
        </w:rPr>
        <w:t xml:space="preserve"> Rautainfuusiohoito</w:t>
      </w:r>
    </w:p>
    <w:p w14:paraId="63D4AE1D" w14:textId="77777777" w:rsidR="009C5325" w:rsidRPr="001D0A94" w:rsidRDefault="009C5325" w:rsidP="009C532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proofErr w:type="spellStart"/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Ferinject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 </w:t>
      </w: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ferrikarboksimaltoosi</w:t>
      </w:r>
      <w:proofErr w:type="spellEnd"/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50 mg Fe/ml infuusio laskimoon 1000 mg (tai alle 50 kg painoisille 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500mg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, tai Hb ollessa korkea) laimennettuna 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0,9%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NaCl 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250ml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15 minuutin aikana poliklinikalla tai 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osastolla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jossa on elvytysvalmius anafylaksiariskin (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0.1%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) vuoksi, jonka jälkeen 30 min seuranta.</w:t>
      </w:r>
    </w:p>
    <w:p w14:paraId="71288A8A" w14:textId="77777777" w:rsidR="009C5325" w:rsidRPr="001D0A94" w:rsidRDefault="009C5325" w:rsidP="009C532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Ennen infuusiota vasta-aiheiden ja yliherkkyysreaktion riskitekijöiden kartoitus, sekä </w:t>
      </w: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tarv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. sisätautilääkärin konsultaatio, jos potilaalla on munuais- tai maksasairaus, krooninen tulehdussairaus, sydämen vajaatoiminta tai sepelvaltimotauti.</w:t>
      </w:r>
    </w:p>
    <w:p w14:paraId="3B57C193" w14:textId="77777777" w:rsidR="009C5325" w:rsidRPr="001D0A94" w:rsidRDefault="009C5325" w:rsidP="009C532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Viikkoa ennen, tai viimeistään 2 päivää edeltävästi tauotetaan </w:t>
      </w: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po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rauta ja sitä jatketaan vasta infuusion jälkeisen (noin 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2-3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kk) laboratorioseurannan perusteella. Infuusio aikaa siirretään, mikäli edeltävästi ilmenee infektio-oireita, esimerkiksi lämmönnousua. </w:t>
      </w:r>
    </w:p>
    <w:p w14:paraId="30A9FE8B" w14:textId="77777777" w:rsidR="009C5325" w:rsidRPr="001D0A94" w:rsidRDefault="009C5325" w:rsidP="009C5325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Potilasta ohjeistettava minne on yhteydessä, jos infuusion jälkeen kotiuduttua ilmenee akuuttihaittoja.</w:t>
      </w:r>
    </w:p>
    <w:p w14:paraId="285ECEED" w14:textId="77777777" w:rsidR="00761989" w:rsidRDefault="00761989"/>
    <w:sectPr w:rsidR="00761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25"/>
    <w:rsid w:val="00244B7B"/>
    <w:rsid w:val="003D067F"/>
    <w:rsid w:val="00761989"/>
    <w:rsid w:val="009C5325"/>
    <w:rsid w:val="00E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8ECC"/>
  <w15:chartTrackingRefBased/>
  <w15:docId w15:val="{C46BA545-0C2D-4D30-A882-CF00A739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5325"/>
  </w:style>
  <w:style w:type="paragraph" w:styleId="Otsikko1">
    <w:name w:val="heading 1"/>
    <w:basedOn w:val="Normaali"/>
    <w:next w:val="Normaali"/>
    <w:link w:val="Otsikko1Char"/>
    <w:uiPriority w:val="9"/>
    <w:qFormat/>
    <w:rsid w:val="009C5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C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C5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5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C5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C5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C5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C5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C5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5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C5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C5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532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C532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C53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C53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C53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C532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C5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C5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C5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C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C532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53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C532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C5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532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C5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832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Peltola Jukka</dc:creator>
  <cp:keywords/>
  <dc:description/>
  <cp:lastModifiedBy>Peltola Jukka</cp:lastModifiedBy>
  <cp:revision>1</cp:revision>
  <dcterms:created xsi:type="dcterms:W3CDTF">2025-06-24T06:31:00Z</dcterms:created>
  <dcterms:modified xsi:type="dcterms:W3CDTF">2025-06-24T06:32:00Z</dcterms:modified>
</cp:coreProperties>
</file>